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543 vom 17. Dezember 1986</w:t>
      </w:r>
    </w:p>
    <w:p>
      <w:r>
        <w:t>Bundesgericht (BGE), 1986-12-17, IT</w:t>
      </w:r>
    </w:p>
    <w:p>
      <w:r>
        <w:rPr>
          <w:b/>
        </w:rPr>
        <w:t xml:space="preserve">Quelle: </w:t>
      </w:r>
      <w:r>
        <w:t>https://mcp.opencaselaw.ch/entscheid/bge_112 IB 543</w:t>
      </w:r>
    </w:p>
    <w:p>
      <w:r>
        <w:t>FR: BGE 112 IB 543 du 17 décembre 1986</w:t>
      </w:r>
    </w:p>
    <w:p>
      <w:r>
        <w:t>IT: BGE 112 IB 543 del 17 dicembre 1986</w:t>
      </w:r>
    </w:p>
    <w:p>
      <w:pPr>
        <w:pStyle w:val="Heading2"/>
      </w:pPr>
      <w:r>
        <w:t>Regeste</w:t>
      </w:r>
    </w:p>
    <w:p>
      <w:r>
        <w:t>Regeste Einsprache gegen ein Nationalstrassen-Ausführungsprojekt. 1. Zulässigkeit der Verwaltungsgerichtsbeschwerde. a) Der Entscheid der kantonalen Behörde, mit welchem die Einsprache einer gesamtschweizerischen Natur- und Heimatschutzvereinigung (Art. 12 Abs. 1 NHG) gegen ein Ausführungsprojekt abgewiesen wird, gilt als Entscheid über eine Einsprache gegen die Enteignung im Sinne von Art. 99 lit. c OG, obschon keine Landabtretung in Frage steht (Art. 12 Abs. 3 NHG in Verbindung mit Art. 9, 35 und 55 EntG, Art. 26 und 27 NSG):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noch jene der zur Beschwerde berechtigten Organisationen (Art. 55 Abs. 2 USG) veröffentlicht hat (E. 1b). c) Die gemäss Art. 12 NHG und Art. 55 NSG beschwerdeberechtigte Vereinigung kann auch insoweit Rügen gegen die im Ausführungsprojekt vorgesehene Linienführung erheben, als sich diese aus dem vom Bundesrat festgelegten generellen Projekt ergibt (E. 1d). 2. 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 3. Vereinbarkeit des Ausführungsprojektes mit dem vom Bundesrat genehmigten generellen Projekt; Art. 12 NSV. Das Ausführungsprojekt hält sich im Rahmen des generellen Projektes, soweit eine aufgrund eingehenderer Studien verbesserte Lösung geschaffen und damit den Anliegen der interessierten Gemeinde entsprochen wird, denen gemäss der Genehmigung des Bundesrates soweit als möglich Rechnung zu tragen ist. Vereinbarkeit im vorliegenden Fall trotz einer beträchtlichen Verlängerung des Zubringers und der Verlegung des Anschlusses an das kantonale Strassennetz bejaht (E. 3).</w:t>
      </w:r>
    </w:p>
    <w:p>
      <w:pPr>
        <w:pStyle w:val="Heading2"/>
      </w:pPr>
      <w:r>
        <w:t>Erwägungen</w:t>
      </w:r>
    </w:p>
    <w:p>
      <w:r>
        <w:rPr>
          <w:b/>
        </w:rPr>
        <w:t>E. 1</w:t>
      </w:r>
    </w:p>
    <w:p>
      <w:r>
        <w:t>Zulässigkeit der Verwaltungsgerichtsbeschwerde. a) Der Entscheid der kantonalen Behörde, mit welchem die Einsprache einer gesamtschweizerischen Natur- und Heimatschutzvereinigung ( Art. 12 Abs. 1 NHG ) gegen ein Ausführungsprojekt abgewiesen wird, gilt als Entscheid über eine Einsprache gegen die Enteignung im Sinne von Art. 99 lit. c OG , obschon keine Landabtretung in Frage steht ( Art. 12 Abs. 3 NHG in Verbindung mit Art. 9, 35 und 55 EntG , Art. 26 und 27 NSG ):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 noch jene der zur Beschwerde berechtigten Organisationen ( Art. 55 Abs. 2 USG ) veröffentlicht hat (E. 1b). c) Die gemäss Art. 12 NHG und Art. 55 NSG beschwerdeberechtigte Vereinigung kann auch insoweit Rügen gegen die im Ausführungsprojekt vorgesehene Linienführung erheben, als sich diese aus dem vom Bundesrat festgelegten generellen Projekt ergibt (E. 1d).</w:t>
      </w:r>
    </w:p>
    <w:p>
      <w:r>
        <w:rPr>
          <w:b/>
        </w:rPr>
        <w:t>E. 2</w:t>
      </w:r>
    </w:p>
    <w:p>
      <w:r>
        <w:t>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w:t>
      </w:r>
    </w:p>
    <w:p>
      <w:r>
        <w:rPr>
          <w:b/>
        </w:rPr>
        <w:t>E. 3</w:t>
      </w:r>
    </w:p>
    <w:p>
      <w:r>
        <w:t>Rispetto al progetto generale, l'arteria di raccordo è stata prolungata e la sua inserzione nella rete cantonale spostata a sud-ovest. A torto a tal proposito la ricorrente - per motivare la censura secondo cui il progetto esecutivo in questa misura non troverebbe più appoggio in quello generale - si riferisce alla sentenza pubblicata in DTF 106 Ib 26 segg.: in quel caso, infatti, il Cantone di Lucerna, applicando diritto cantonale, aveva progettato un raccordo non previsto dal progetto generale approvato dal Consiglio federale, violando con ciò il diritto federale esclusivamente applicabile (sentenza citata, pagg. 30/31). Nel caso in esame, per contro, il Canton Ticino ha applicato diritto federale e la questione che si pone è unicamente quella di sapere se il progetto controverso costituisca ancora esecuzione di quello generale, oppure se ne scosti in modo tale da non trovare più in esso sufficiente sostegno, cosicché si dovrebbe trarre la conclusione o che il progetto esecutivo dev'essere ridotto o che quello generale dev'essere riveduto dal Consiglio federale. Per pronunciarsi su questo punto, non è lecito basarsi unicamente - come sembra voler fare la Lega - sulla planimetria 1: 5000 del progetto generale, ma occorre fondarsi sull'insieme degli atti che costituiscono tale progetto, nonché sulle considerazioni esposte dal Consiglio federale nella decisione d'approvazione del 14 settembre 1983. Ora, da queste motivazioni risulta chiaramente che il Consiglio federale ha dato tra l'altro mandato al Cantone di esaminare e, nella misura del possibile, accogliere le domande e i desiderata espressi dai comuni in occasione della procedura di consultazione. Il divario che è qui in contestazione non concerne lo svincolo vero e proprio della strada nazionale, che in entrambi i progetti costituisce un ampliamento di quello già esistente a Mendrisio/San Martino, ma unicamente l'allacciamento della prevista arteria di raccordo con l'esistente rete cantonale, allacciamento che viene portato oltre il villaggio di Ligornetto. Certo, il prolungamento dell'arteria è rilevante: tuttavia, tenendo conto della finalità generale della nuova strada, che è quella di sgravare gli abitati dall'intenso traffico - particolarmente pesante - che li attraversa in provenienza da e in direzione del valico del Gaggiolo, e delle precise indicazioni fornite dal Consiglio federale in sede d'approvazione BGE 112 Ib 543 S. 554 del progetto generale, si deve riconoscere che quello esecutivo non ne valica il quadro, ma ne costituisce l'approfondimento, in accoglimento dei desiderata del Comune di Ligornetto e, in parte, di quello di Stabio. Che lo spostamento dell'innesto nella rete cantonale abbia il pregio di sgravare il villaggio di Ligornetto e la sua popolazione in misura più adeguata e meglio consona alle finalità dell'opera, neppure la ricorrente può seriamente contestare. A ciò si aggiunga che dall' art. 12 OSN risulta bensì, come il Tribunale federale ha già sottolineato ( DTF 106 Ib 29 /30 consid. 12a), che il progetto generale va elaborato con la massima precisione, in maniera che non siano da aspettarsi notevoli spostamenti del tracciato, dei punti di collegamento e delle opere d'intersezione, ma che tale disposizione non intende manifestamente impedire in modo categorico ogni modifica e segnatamente ogni miglioramento che l'approfondimento degli studi e la consultazione degli enti interessati facessero in prosieguo apparire opportuni: esigere che ogni modificazione sia preceduta da una revisione del progetto generale, nonostante che i lineamenti e le finalità di questo non siano mutati, significherebbe prolungare inutilmente la progettazione e contribuirebbe ad un inammissibile rincaro dell'opera. È anche di rilievo, a tal riguardo, che il competente DFTCE ha nel frattempo approvato il progetto esecutivo senza riserva alcuna in punto alla sua compatibilità con quello generale licenziato dal Governo e non v'è quindi motivo per il Tribunale federale di adottare atteggiamento diverso. Manifestamente infondata appare poi l'obiezione della Lega secondo cui, come progettata, l'attuale estensione dell'arteria di raccordo imprimerebbe alla sua ipotetica futura continuazione verso il Gaggiolo una direzione affatto diversa da quella che lascerebbe supporre il progetto generale. Per convincersene, basta confrontare le planimetrie del progetto generale e di quello esecutivo: se si ipotizza un prolungamento dell'arteria di raccordo disegnata nel primo dei due oltre il previsto e poi soppresso svincolo della Guardia, appare evidente che un simile prolungamento si situerebbe fra l'esistente strada cantonale ed il binario ferroviario e corrisponderebbe pertanto praticamente con il prolungamento previsto nell'attuale progetto esecutivo. È poi vano fare ipotesi su un'eventuale futura continuazione dell'arteria di raccordo verso Stabio ed il valico del Gaggiolo: simile prolungamento - per quanto auspicato dal Cantone - non è almeno per il momento preso in considerazione, BGE 112 Ib 543 S. 555 come si è saputo al sopralluogo, dalle autorità federali, che non intenderebbero attirare ulteriore traffico sulla strada nazionale col rischio di provocarne l'intasamento. Si può tutt'al più rilevare a tal proposito che, come ha opportunamente osservato il Cantone, il tracciato di tale prolungamento verrebbe per buona parte a coincidere con quello caldeggiato dalla stessa ricorrente. Se ne deve concludere che la censura relativa al divario fra il progetto generale e quello esecutivo non ha fondamento e che il Cantone, elaborando quest'ultimo progetto, non ha violato il diritto federale scostandosi in modo inammissibile dalla decisione del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